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BF2A1D" w:rsidRPr="00BF2A1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Sağlık Hizmetleri Alan 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782944" w:rsidRPr="00782944">
        <w:rPr>
          <w:rFonts w:ascii="Times New Roman" w:eastAsia="SimSun" w:hAnsi="Times New Roman" w:cs="Times New Roman"/>
          <w:lang w:eastAsia="zh-CN"/>
        </w:rPr>
        <w:t>Sağlık Hizmetleri</w:t>
      </w:r>
      <w:r w:rsidR="00F81E55" w:rsidRPr="00F81E55">
        <w:rPr>
          <w:rFonts w:ascii="Times New Roman" w:eastAsia="SimSun" w:hAnsi="Times New Roman" w:cs="Times New Roman"/>
          <w:lang w:eastAsia="zh-CN"/>
        </w:rPr>
        <w:t xml:space="preserve"> Alan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BF2A1D">
        <w:rPr>
          <w:rFonts w:ascii="Times New Roman" w:eastAsia="SimSun" w:hAnsi="Times New Roman" w:cs="Times New Roman"/>
          <w:b/>
          <w:lang w:eastAsia="zh-CN"/>
        </w:rPr>
        <w:t xml:space="preserve">Sağlık Hizmetleri Alan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’nin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BF2A1D" w:rsidRPr="00BF2A1D">
        <w:rPr>
          <w:rFonts w:ascii="Times New Roman" w:eastAsia="SimSun" w:hAnsi="Times New Roman" w:cs="Times New Roman"/>
          <w:b/>
          <w:lang w:eastAsia="zh-CN"/>
        </w:rPr>
        <w:t xml:space="preserve">Sağlık Hizmetleri Alan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782944" w:rsidRPr="00782944">
        <w:rPr>
          <w:rFonts w:ascii="Times New Roman" w:eastAsia="SimSun" w:hAnsi="Times New Roman" w:cs="Times New Roman"/>
          <w:b/>
          <w:lang w:eastAsia="zh-CN"/>
        </w:rPr>
        <w:t xml:space="preserve">Sağlık Hizmetleri </w:t>
      </w:r>
      <w:r w:rsidR="00782944">
        <w:rPr>
          <w:rFonts w:ascii="Times New Roman" w:eastAsia="SimSun" w:hAnsi="Times New Roman" w:cs="Times New Roman"/>
          <w:b/>
          <w:lang w:eastAsia="zh-CN"/>
        </w:rPr>
        <w:t xml:space="preserve">Alan </w:t>
      </w:r>
      <w:r w:rsidR="00782944" w:rsidRPr="00782944">
        <w:rPr>
          <w:rFonts w:ascii="Times New Roman" w:eastAsia="SimSun" w:hAnsi="Times New Roman" w:cs="Times New Roman"/>
          <w:b/>
          <w:lang w:eastAsia="zh-CN"/>
        </w:rPr>
        <w:t>Öğretmeni Yeterliklerini</w:t>
      </w:r>
      <w:r w:rsidR="00782944" w:rsidRPr="00DE5372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9980" wp14:editId="3AB0CE75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2A1D" w:rsidRPr="00DE5372" w:rsidRDefault="00BF2A1D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BF2A1D" w:rsidRPr="00DE5372" w:rsidRDefault="00BF2A1D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BF2A1D" w:rsidRPr="00DE5372" w:rsidRDefault="00BF2A1D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998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BF2A1D" w:rsidRPr="00DE5372" w:rsidRDefault="00BF2A1D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BF2A1D" w:rsidRPr="00DE5372" w:rsidRDefault="00BF2A1D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BF2A1D" w:rsidRPr="00DE5372" w:rsidRDefault="00BF2A1D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BF2A1D" w:rsidRPr="00BF2A1D">
              <w:rPr>
                <w:rFonts w:ascii="Times New Roman" w:hAnsi="Times New Roman" w:cs="Times New Roman"/>
                <w:b/>
                <w:sz w:val="18"/>
                <w:szCs w:val="18"/>
              </w:rPr>
              <w:t>Koruyucu sağlık hizmetlerini analiz edebilme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A1.1. Sağlığı koruma ve geliştirmeyle ilgili kuramları,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kavramları ile ilişkilendirir.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A1.2. Anatomi ve fizyoloji ile ilgili tıbbi terimleri, insan vücudunun yapısını, sistemlerin yapı ve işlevlerini ayırt eder. </w:t>
            </w:r>
          </w:p>
          <w:p w:rsid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Sağlıklı yaşam davranışlarının sağlık 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zerindeki etkilerini yorumlar.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Sağlık taramasının toplum sağlı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ğı üzerindeki etkisini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Kişisel hijyen ve sanitasyonun tedavi sürecinde sağlık üzerindeki etkisini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Özel durumu olan bireylere yönelik sağlıklı yaşam davra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nışları ile ilişkisini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A1.7. Toplum sağlığ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 ve çevre ilişkisini yorumlar.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A1.8. Sağlık ölçütleri ile ülkenin gelişmişlik düze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 arasındaki ilişkiyi açıklar.</w:t>
            </w:r>
          </w:p>
          <w:p w:rsidR="00A908BA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A1.9. Sağlık hizmetlerinde paydaşlarla etkili iletişim yöntemlerini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820C7C" w:rsidRPr="00820C7C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Koruyucu sağlık hizmetlerini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F2A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Hastalıklarda bakım sürecini analiz edebilme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Hastalıklarla ilgili temel kavramları açıklar.</w:t>
            </w:r>
          </w:p>
          <w:p w:rsidR="00BF2A1D" w:rsidRDefault="00BF2A1D" w:rsidP="00BF2A1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Hastalık belirtilerine gör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e hastalık çeşidini ayırt eder.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Hastalıklara yönel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ik beslenme ilkelerini açıklar.</w:t>
            </w:r>
          </w:p>
          <w:p w:rsidR="00A908BA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A2.4. Hastalıklardaki tedavi sürecindeki genel durum değişikliklerini analiz eder.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F2A1D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Alan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“</w:t>
            </w:r>
            <w:r w:rsidR="00820C7C" w:rsidRPr="00820C7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Hastalıklarda bakım sürecini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820C7C" w:rsidRPr="00DE5372" w:rsidRDefault="00820C7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C2ADC" w:rsidRPr="00DE5372" w:rsidRDefault="009C2AD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F2A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Tıbbi tanı ve tedavi hizmetlerini </w:t>
            </w:r>
            <w:r w:rsid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avrayabilme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Sağlık hizmeti sunulan birimleri hizmet türlerine göre ayırt  eder.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A3.2. Hasta verilerinin kayıt sürecindeki aşamaları açıklar.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Hasta taşıma ve transport ilkelerini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A3.4. Operasyon öncesi ve sonrası hasta bakımı sürecini açıklar.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A3.5. Tanı ve tedavide uygulanan ilaçların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 ve yan etkilerini açıklar.</w:t>
            </w:r>
          </w:p>
          <w:p w:rsidR="00744449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A3.6. Klinik laboratuvar testlerinin tanı koymadaki etkilerini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Tıbbi tanı ve tedavi hizmetlerini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BF2A1D" w:rsidRPr="00BF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İlk yardımı gerçekleştirebilme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A4.1.İlk yardımın temel ilke ve kavramlarını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Acil durumlara uygun ilk yardım tekniğini uygular.</w:t>
            </w:r>
          </w:p>
          <w:p w:rsidR="00744449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İlk yardım durumlarında temel yaşam desteği basamaklarını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İlk yardımı gerçekleştirebilme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F2A1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2309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A5.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Ana/çocuk/yaşlı sağlığını </w:t>
            </w:r>
            <w:r w:rsid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eğerlendirebilme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A5.1. Kadın ve üreme sağlığı ile ilgili temel kavramları açıklar. 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A5.2. Gebelik, doğum ve doğum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sonrası süreci analizini yapar.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Yeni doğanın ilk değerle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ndirmesini ve bakımını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A5.4. Aşılar ile bağışıklık siste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 arasındaki ilişkiyi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A5.5. Dünya Sağlık Örgütü verilerine gör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büyüme ve gelişmeyi yorumlar.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A5.6. Aile planlaması hizmetlerini toplumların gelişmişlik düzeylerine etkis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ini açıklar.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A5.7. Yaşlı bakım sürecinde yer alan hizmetleri açıklar.</w:t>
            </w:r>
          </w:p>
          <w:p w:rsidR="008B65FA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A5.8. Özel gereksinim li bireylere yönelik bakım hizmetlerini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BF2A1D" w:rsidRPr="00BF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Ana/çocuk/yaşlı sağlığını değerlendirebilme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Sağlık hizmeti veren kurum ve kuruluşları kavrayabilme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A6.1. Sağlık hizmeti veren kurum ve kuruluşl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arın hizmet alanlarını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A6.2. Sağlıkla ilgili ulusal ve uluslararası örgütleri sıralar.</w:t>
            </w:r>
          </w:p>
          <w:p w:rsidR="008B65FA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A6.3. Hasta haklarını listeler.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Sağlık hizmeti veren kurum ve kuruluşları kavrayabilme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Pr="00DE5372" w:rsidRDefault="007F6790">
      <w:pPr>
        <w:rPr>
          <w:rFonts w:ascii="Times New Roman" w:hAnsi="Times New Roman" w:cs="Times New Roman"/>
        </w:rPr>
      </w:pPr>
      <w:r w:rsidRPr="00DE5372">
        <w:rPr>
          <w:rFonts w:ascii="Times New Roman" w:hAnsi="Times New Roman" w:cs="Times New Roman"/>
        </w:rPr>
        <w:br w:type="page"/>
      </w:r>
    </w:p>
    <w:p w:rsidR="007F6790" w:rsidRPr="00DE5372" w:rsidRDefault="007F6790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E68EE" w:rsidRPr="00DE5372" w:rsidTr="008E68E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4F6866" w:rsidP="008E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A7.1. Eğitim bilimiyle ilgili kavram, yöntem, ilke, genelleme, yaklaşım ve kuramları, sağlık hizmetleri alan öğretmenliğiyle ilişkilendirir.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A7.2. Öğretim programlarının gelişim süreçlerini 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uramsal dayanaklarıyla açıklar.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A7.3. Öğretim programlarının amaçlarını, modüler yapıyı dikkate alarak aynı/farklı sınıf düzeylerinde ilişkilendirir.</w:t>
            </w:r>
          </w:p>
          <w:p w:rsidR="00613EBC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A7.4. Öğretim programını amaç, içerik, sınırl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ılık, öğrenme-öğretme süreci ve d</w:t>
            </w: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eğerlendirme öğelerinin uyumluluğu açısından sorgular.</w:t>
            </w:r>
            <w:r w:rsidR="003C4EFB" w:rsidRPr="00DE5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68EE" w:rsidRPr="00DE5372" w:rsidTr="008E68E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E68EE" w:rsidRPr="00DE5372" w:rsidRDefault="008E68EE" w:rsidP="008E68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BF2A1D" w:rsidRPr="00BF2A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B1.1. Planları öğrenme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gereksinimlerine göre hazırlar.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Planlarında kazanımlara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göre kaynakları çeşitlendirir.</w:t>
            </w:r>
          </w:p>
          <w:p w:rsidR="008B65FA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B1.3. Sağlık Hizmetleri Alanının amaç ve ilkelerine uygun etkinlikler tasarlar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BF2A1D" w:rsidRPr="00BF2A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Pr="00DE5372" w:rsidRDefault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B2.1.  Öğrenme-öğretme ortamını öğrencilerin bireysel, sosyal, kültürel farklılıkları ile özel ilgi ve öğrenme ihtiyaçlarını dikkate alarak düzenler.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Tıbbi bakım sürecinin uygulanmasına yöne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lik çalışma ortamları hazırlar </w:t>
            </w:r>
          </w:p>
          <w:p w:rsidR="00247440" w:rsidRPr="00DE5372" w:rsidRDefault="00BF2A1D" w:rsidP="00BF2A1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Sağlığı korumaya yönelik temel uygulamalarla ilgili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BF2A1D" w:rsidRPr="00BF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araştırma-geliştirme ve kendilerini yenileme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Araştırma-geliştirme yönlerini destekleyen bilişim teknolojilerini etki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kullanacak uygulamalar yapar.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Öğrencilerin teknolojik gelişmeleri takip edebilecekleri yabancı dil kullanma becerilerini gelişt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irmeleri için uygulamalar yapar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Öğrencinin kanıta dayalı uygulamaları kullanma becerilerini geli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ştirecekleri etkinler düzenler.</w:t>
            </w:r>
          </w:p>
          <w:p w:rsidR="00837719" w:rsidRPr="00DE5372" w:rsidRDefault="00BF2A1D" w:rsidP="00BF2A1D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Araştırma-geliştirme yönlerini destekleyen bilişim teknolojilerini etkin kullanacak uygulamalar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araştırma-geliştirme ve kendilerini yenileme becerilerini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mesleki uygulama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Öğrencilerin bakım sürecini planla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yacakları etkinlikler düzenler.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Öğrencilerin tıbbi bakım uygulamala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rına yönelik çalışmalar  yapar.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Öğrencilerin sağlık hizmetlerinde kullanılan  araç gereçleri hazır hale getirmelerine yönelik çalışmala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yapar. 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Öğrencilerin hijyen ve sanitasyon kurallarını uygulamalarına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yönelik çalışmalar düzenler.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B5.5. İlk yardım tekniklerinin uygulamasına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yönelik etkinlikler düzenler. 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B6.6. Hasta kayıtlarının ve veri giriş işlemlerinin öğrenilmesi için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tkinlikler hazırlar.</w:t>
            </w:r>
          </w:p>
          <w:p w:rsidR="00837719" w:rsidRPr="00DE5372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B7.7. Öğrencilerin sağlığı koruma ve geliştirme becerilerini geliştirmesine yönelik çalışmalar düzenler.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BF2A1D" w:rsidRPr="00BF2A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Öğrencilerin mesleki uygulama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Pr="00DE5372" w:rsidRDefault="00476F51">
      <w:pPr>
        <w:rPr>
          <w:rFonts w:ascii="Times New Roman" w:hAnsi="Times New Roman" w:cs="Times New Roman"/>
          <w:sz w:val="18"/>
          <w:szCs w:val="18"/>
        </w:rPr>
      </w:pPr>
    </w:p>
    <w:p w:rsidR="00D01075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p w:rsidR="009C2ADC" w:rsidRPr="00DE5372" w:rsidRDefault="009C2AD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Eğitim ortamlarında iletişimin kuralları çerçevesinde gerçekleşmes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ine yönelik uygulamalar yapar. 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Öğrencilerin hasta ve hasta yakınları ile iletişim yöntem ve tekniklerini etkili kullanmalarına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yönelik etkinlikler düzenler. </w:t>
            </w:r>
          </w:p>
          <w:p w:rsidR="00BF2A1D" w:rsidRPr="00BF2A1D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Öğrencilerin sağlık hizmetleri alanında görev alan sağlık çalışanları ile iletişimde mesleki terminolojiyi kul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lanacağı etkinlikler düzenler. </w:t>
            </w:r>
          </w:p>
          <w:p w:rsidR="00FA26AF" w:rsidRPr="00DE5372" w:rsidRDefault="00BF2A1D" w:rsidP="00BF2A1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B5.4. Eğitim ortamlarında iletişimin kuralları çerçevesinde gerçekleşmesine yönelik uygulamalar yapar.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3C4EF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Pr="00DE5372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 Öğrencilerin kariyer planlamada girişimciliğin rolünü kavramalarına yönelik çalışmalar yapar.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B6.2. Öğrencilerin sağlık alanında girişimci fikirler üretmeleri için etkinlikler hazırlar.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B6.3. Öğrencilerin kendini tanıyarak kariyer planlarını oluşturmaları için uygulamalar yapar.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B6.4. Öğrencilerin kariyer çalışmalarında girişimcilik ahlakına uygun davranmalar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ına yönelik uygulamalar yapar. </w:t>
            </w:r>
          </w:p>
          <w:p w:rsidR="00837719" w:rsidRPr="00DE5372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B6.5. Öğrencilere, girişimcilik heyecanı verecek sağlık ile ilgili sosyal sorumluluk faaliyetlerine katılmalarına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B7.1. Sağlık hizmetlerinin yürütülmesi sürecinde hızlı ve doğru karar. Verme becerilerini gelişti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rmeye yönelik çalışmalar yapar 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B7.2. </w:t>
            </w: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Öğrencilerin bakım sürecinde oluşan problemlere karşı çözüm üretmelerine ve değerlendirebilmelerine yönelik çalışmalar yapar.</w:t>
            </w:r>
          </w:p>
          <w:p w:rsidR="008553A4" w:rsidRPr="00DE5372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B7.3. Öğrencilerin hastaya ve hastalığa uygun bakımı ayırt etmelerine yönelik etkinlikler düzenler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C4EFB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3C4EFB" w:rsidRPr="00DE5372" w:rsidTr="00BF2A1D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3C4EF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B.8.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4EFB" w:rsidRPr="00DE5372" w:rsidTr="00BF2A1D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BF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B8.1. Öğrencilerin mesleki gelişimlerini tanıma, seviyelerini belirleme ve izleme 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açlı ölçme araçlarını kullanır.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 Öğrencilerin el becerilerinin düzeylerini belirlemek için uygula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malı ölçme araçları kullanılır.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B8.3. Öğrencilerin dersin konularına yönelik öğrenme düzeylerini belirlemek amac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ıyla ölçme araçlarını kullanır.</w:t>
            </w:r>
          </w:p>
          <w:p w:rsidR="00BF2A1D" w:rsidRPr="00BF2A1D" w:rsidRDefault="00BF2A1D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</w:t>
            </w:r>
            <w:r w:rsid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4.  </w:t>
            </w:r>
            <w:r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Ölçme ve değerlendirme sonuçlarını; öğrenme ortamlarına, ölçme araçlarına ve bu araçların 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rimliliğine göre karşılaştırır.</w:t>
            </w:r>
          </w:p>
          <w:p w:rsidR="003C4EFB" w:rsidRPr="00DE5372" w:rsidRDefault="00782944" w:rsidP="00BF2A1D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B8.5. </w:t>
            </w:r>
            <w:r w:rsidR="00BF2A1D" w:rsidRPr="00BF2A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Ölçme değerlendirme amaçlarını, araçlarını, yöntemlerini ve değerlendirme sonuçlarını ilgililerle paylaşır.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FB" w:rsidRPr="00DE5372" w:rsidRDefault="003C4EFB" w:rsidP="00BF2A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C4EFB" w:rsidRPr="00DE5372" w:rsidTr="00BF2A1D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3C4EFB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3C4EFB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B.8. </w:t>
            </w:r>
            <w:r w:rsidR="00BF2A1D" w:rsidRPr="00BF2A1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3C4EFB" w:rsidRPr="00DE5372" w:rsidRDefault="003C4EFB" w:rsidP="00BF2A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BF2A1D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BF2A1D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3C4EFB" w:rsidRPr="00DE5372" w:rsidTr="00BF2A1D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C4EFB" w:rsidRPr="00DE5372" w:rsidRDefault="003C4EFB" w:rsidP="00BF2A1D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C4EFB" w:rsidRPr="00DE5372" w:rsidRDefault="003C4EFB" w:rsidP="00BF2A1D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BF2A1D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3C4EFB" w:rsidRPr="00DE5372" w:rsidRDefault="003C4EFB" w:rsidP="00BF2A1D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C4EFB" w:rsidRDefault="003C4EFB" w:rsidP="00D01075">
      <w:pPr>
        <w:rPr>
          <w:rFonts w:ascii="Times New Roman" w:hAnsi="Times New Roman" w:cs="Times New Roman"/>
          <w:sz w:val="18"/>
          <w:szCs w:val="18"/>
        </w:rPr>
      </w:pPr>
    </w:p>
    <w:p w:rsidR="00782944" w:rsidRPr="00DE5372" w:rsidRDefault="00782944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2309C" w:rsidRPr="00DE5372" w:rsidRDefault="0062309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782944">
        <w:trPr>
          <w:trHeight w:val="495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6D0EBC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="00DF646B"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DF646B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782944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782944"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Kişisel ve mesleki gelişime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782944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Gelişen ve değişen tıbbi ve teknolojik koşullar doğrultusunda alanı ile ilgili ulusal ve uluslararası yayınları takip eder.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Sağlık ile ilgili ulusal veya uluslararası etkinliklerde göre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 ve sorumluluk almayı önemser.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Sağlık ile ilgili izlediği gelişmeleri ders ortamında etkinliklerine 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ansıtmayı ilke hâline getirir. 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Sağlık problemlerinin çözümünde bilimsel yöntemleri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ercih etmenin önemini savunur. </w:t>
            </w:r>
          </w:p>
          <w:p w:rsidR="00DF646B" w:rsidRPr="00DE5372" w:rsidRDefault="00782944" w:rsidP="00782944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C1.5. Sağlıkla ilgili konularda tıbbi terminoloji kullanarak açıklamayı benimser.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782944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782944"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Kişisel ve mesleki gelişime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782944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782944"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Birey ve toplum sağlığını korumada kurum ve kuruluşlarla iş birliği yapabilme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Acil durumlarda ilgili kurum ve kuruluşlarla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letişim kurulmasını alışkanlık 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Sağlığı koruma ve geliştirmeyle ilgili konularda sivil toplum kuruluşları, yerel yönetimler ve ilgili kişilerle iş birliği yapmaya ilke haline geti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rir.</w:t>
            </w:r>
          </w:p>
          <w:p w:rsidR="00713C14" w:rsidRPr="00DE5372" w:rsidRDefault="00782944" w:rsidP="00782944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Sağlık eğitimi konusunda sivil toplum kuruluşları, yerel yönetimler ve ilgili kişilerle iş birliği yapmaya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782944"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Birey ve toplum sağlığını korumada kurum ve kuruluşlarla iş birliği yapabilme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9C2ADC" w:rsidRDefault="009C2ADC">
      <w:pPr>
        <w:rPr>
          <w:rFonts w:ascii="Times New Roman" w:hAnsi="Times New Roman" w:cs="Times New Roman"/>
          <w:sz w:val="18"/>
          <w:szCs w:val="18"/>
        </w:rPr>
      </w:pPr>
    </w:p>
    <w:p w:rsidR="003C4EFB" w:rsidRDefault="003C4EFB">
      <w:pPr>
        <w:rPr>
          <w:rFonts w:ascii="Times New Roman" w:hAnsi="Times New Roman" w:cs="Times New Roman"/>
          <w:sz w:val="18"/>
          <w:szCs w:val="18"/>
        </w:rPr>
      </w:pPr>
    </w:p>
    <w:p w:rsidR="003C4EFB" w:rsidRPr="00DE5372" w:rsidRDefault="003C4E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782944"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Toplum ve çevre sağlığı korunmasına yönelik bilinç oluşturabilme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Ortak kullanım alanlarında hijyen kurallarına uy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ulmasında ilkeli hareket eder. </w:t>
            </w:r>
          </w:p>
          <w:p w:rsidR="00782944" w:rsidRPr="00782944" w:rsidRDefault="00782944" w:rsidP="0078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Zararlı alışkanlıklardan korunmak amacıyla sportif ve sosyal etkinliklere katılmayı önemser.</w:t>
            </w:r>
          </w:p>
          <w:p w:rsidR="00782944" w:rsidRPr="00782944" w:rsidRDefault="00782944" w:rsidP="0078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Elektromanyetik kirliliğe neden olan teknolojik aletleri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ilinçli kullanmaya dikkat eder.</w:t>
            </w:r>
          </w:p>
          <w:p w:rsidR="00782944" w:rsidRPr="00782944" w:rsidRDefault="00782944" w:rsidP="00782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Tehlikeli ve tıbbi atıkların uzaklaştırılmasında ç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evrenin korunmasına duyarlıdır </w:t>
            </w:r>
          </w:p>
          <w:p w:rsidR="00713C14" w:rsidRPr="00DE5372" w:rsidRDefault="00782944" w:rsidP="00782944">
            <w:pPr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C3.5. Toplumda çevre bilinci uyandırmada rol model olur.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782944"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Toplum ve çevre sağlığı korunmasına yönelik bilinç oluşturabilme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782944"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Sağlıklı yaşama alışkanlığı geliştirebilme</w:t>
            </w:r>
            <w:r w:rsidR="003C4EFB" w:rsidRPr="003C4E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Sağlıklı yaşam davranışlarına göre hareket 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meyi alışkanlık haline getirir.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C4.2. Sağlıklı yaşamada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bilinçli tüketici ligi önemser.</w:t>
            </w:r>
          </w:p>
          <w:p w:rsidR="00713C14" w:rsidRPr="00DE5372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Sağlıklı duruş ve vücut mekaniklerini ilke edinir.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782944"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Sağlık Hizmetleri</w:t>
            </w:r>
            <w:r w:rsidR="00F81E55"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782944"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Sağlıklı yaşama alışkanlığı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82944" w:rsidRPr="00DE5372" w:rsidTr="005D19EB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C5. Sağlık ile ilgili kişi hakları ve mahremiyetine duyarlı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82944" w:rsidRPr="00DE5372" w:rsidTr="005D19E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C5.1. Sağlık hizmetlerinin sunumunda hasta haklarını savunur.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C5.2. İnsan ve çocuk hakları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mahremiyetine duyarlıdır.</w:t>
            </w:r>
          </w:p>
          <w:p w:rsidR="00782944" w:rsidRPr="00DE5372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C5.3. Hasta bilgilerinin gizliliğini savunur.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82944" w:rsidRPr="00DE5372" w:rsidTr="005D19EB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C5. Sağlık ile ilgili kişi hakları ve mahremiyetine duyarlı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82944" w:rsidRPr="00DE5372" w:rsidTr="005D19EB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82944" w:rsidRPr="00DE5372" w:rsidTr="005D19EB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C6. Öğrencilerde bireysel ve akademik gelişimi destekleyebilme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82944" w:rsidRPr="00DE5372" w:rsidTr="005D19E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C6.1. Öğrencilerin sağlığa yönelik proje ve tasarımlarına değer verir.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C6.2. Öğrencilerin ulusal ve uluslararası etkinliklere katılımları hususunda isteklidir.</w:t>
            </w:r>
          </w:p>
          <w:p w:rsidR="00782944" w:rsidRPr="00DE5372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C6.3. Mezun öğrencilerin okulla olan ilişkilerinin devamlılığını sağlamaya gönüllüdür.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82944" w:rsidRPr="00DE5372" w:rsidTr="005D19EB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C6. Öğrencilerde bireysel ve akademik gelişimi destekleyebilme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82944" w:rsidRPr="00DE5372" w:rsidTr="005D19EB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E5372" w:rsidRDefault="00DE5372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62309C" w:rsidRDefault="0062309C">
      <w:pPr>
        <w:rPr>
          <w:rFonts w:ascii="Times New Roman" w:hAnsi="Times New Roman" w:cs="Times New Roman"/>
          <w:sz w:val="18"/>
          <w:szCs w:val="18"/>
        </w:rPr>
      </w:pPr>
    </w:p>
    <w:p w:rsidR="0062309C" w:rsidRDefault="0062309C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p w:rsidR="00782944" w:rsidRDefault="0078294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82944" w:rsidRPr="00DE5372" w:rsidTr="005D19EB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7829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C7. Meslek etiği konusunda duyarlı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82944" w:rsidRPr="00DE5372" w:rsidTr="005D19EB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C7.1. Sağlık alanında etik davranışlar gösterme konusunu önemser.</w:t>
            </w:r>
          </w:p>
          <w:p w:rsidR="00782944" w:rsidRPr="00782944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C7.2. Çalışmalarında etik kuralları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uygulamayı ilke haline getirir.</w:t>
            </w:r>
          </w:p>
          <w:p w:rsidR="00782944" w:rsidRPr="00DE5372" w:rsidRDefault="00782944" w:rsidP="00782944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8294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C7.3. Alanıyla ilgili etik kodların uygulamada kullanılmasını savunur.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4" w:rsidRPr="00DE5372" w:rsidRDefault="00782944" w:rsidP="005D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82944" w:rsidRPr="00DE5372" w:rsidTr="005D19EB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Pr="0078294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Sağlık Hizmetleri </w:t>
            </w:r>
            <w:r w:rsidRPr="00F81E5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Alan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78294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C7. Meslek etiği konusunda duyarlı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82944" w:rsidRPr="00DE5372" w:rsidTr="005D19EB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4" w:rsidRPr="00DE5372" w:rsidRDefault="00782944" w:rsidP="005D19E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82944" w:rsidRPr="00DE5372" w:rsidRDefault="00782944" w:rsidP="005D19EB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82944" w:rsidRPr="00DE5372" w:rsidRDefault="00782944">
      <w:pPr>
        <w:rPr>
          <w:rFonts w:ascii="Times New Roman" w:hAnsi="Times New Roman" w:cs="Times New Roman"/>
          <w:sz w:val="18"/>
          <w:szCs w:val="18"/>
        </w:rPr>
      </w:pPr>
    </w:p>
    <w:sectPr w:rsidR="00782944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91" w:rsidRDefault="00101491" w:rsidP="00A908BA">
      <w:pPr>
        <w:spacing w:after="0" w:line="240" w:lineRule="auto"/>
      </w:pPr>
      <w:r>
        <w:separator/>
      </w:r>
    </w:p>
  </w:endnote>
  <w:endnote w:type="continuationSeparator" w:id="0">
    <w:p w:rsidR="00101491" w:rsidRDefault="00101491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BF2A1D" w:rsidRDefault="00BF2A1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329">
          <w:rPr>
            <w:noProof/>
          </w:rPr>
          <w:t>1</w:t>
        </w:r>
        <w:r>
          <w:fldChar w:fldCharType="end"/>
        </w:r>
      </w:p>
    </w:sdtContent>
  </w:sdt>
  <w:p w:rsidR="00BF2A1D" w:rsidRDefault="00BF2A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91" w:rsidRDefault="00101491" w:rsidP="00A908BA">
      <w:pPr>
        <w:spacing w:after="0" w:line="240" w:lineRule="auto"/>
      </w:pPr>
      <w:r>
        <w:separator/>
      </w:r>
    </w:p>
  </w:footnote>
  <w:footnote w:type="continuationSeparator" w:id="0">
    <w:p w:rsidR="00101491" w:rsidRDefault="00101491" w:rsidP="00A908BA">
      <w:pPr>
        <w:spacing w:after="0" w:line="240" w:lineRule="auto"/>
      </w:pPr>
      <w:r>
        <w:continuationSeparator/>
      </w:r>
    </w:p>
  </w:footnote>
  <w:footnote w:id="1">
    <w:p w:rsidR="00BF2A1D" w:rsidRPr="00666C77" w:rsidRDefault="00BF2A1D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BF2A1D" w:rsidRPr="00666C77" w:rsidRDefault="00BF2A1D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BF2A1D" w:rsidRPr="00666C77" w:rsidRDefault="00BF2A1D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0D2715"/>
    <w:rsid w:val="00101491"/>
    <w:rsid w:val="00105119"/>
    <w:rsid w:val="00112F61"/>
    <w:rsid w:val="00184615"/>
    <w:rsid w:val="001E2B5C"/>
    <w:rsid w:val="00247440"/>
    <w:rsid w:val="00265467"/>
    <w:rsid w:val="00290329"/>
    <w:rsid w:val="002952F3"/>
    <w:rsid w:val="002A7B51"/>
    <w:rsid w:val="002C4208"/>
    <w:rsid w:val="002C5097"/>
    <w:rsid w:val="0039648A"/>
    <w:rsid w:val="003A6F60"/>
    <w:rsid w:val="003C4EFB"/>
    <w:rsid w:val="003F5796"/>
    <w:rsid w:val="00476F51"/>
    <w:rsid w:val="004851BF"/>
    <w:rsid w:val="00496BEF"/>
    <w:rsid w:val="004F6866"/>
    <w:rsid w:val="00613EBC"/>
    <w:rsid w:val="0062309C"/>
    <w:rsid w:val="00634D12"/>
    <w:rsid w:val="00660CCE"/>
    <w:rsid w:val="006D0EBC"/>
    <w:rsid w:val="006E3CE0"/>
    <w:rsid w:val="00713C14"/>
    <w:rsid w:val="007375E7"/>
    <w:rsid w:val="00744449"/>
    <w:rsid w:val="007520C0"/>
    <w:rsid w:val="00777F34"/>
    <w:rsid w:val="00782944"/>
    <w:rsid w:val="007934A9"/>
    <w:rsid w:val="00794859"/>
    <w:rsid w:val="007A4679"/>
    <w:rsid w:val="007E7AD5"/>
    <w:rsid w:val="007F6790"/>
    <w:rsid w:val="00820C7C"/>
    <w:rsid w:val="00836156"/>
    <w:rsid w:val="00837719"/>
    <w:rsid w:val="0084270F"/>
    <w:rsid w:val="008553A4"/>
    <w:rsid w:val="00866FB9"/>
    <w:rsid w:val="008B65FA"/>
    <w:rsid w:val="008E68EE"/>
    <w:rsid w:val="008F6D3A"/>
    <w:rsid w:val="0090135A"/>
    <w:rsid w:val="009044C3"/>
    <w:rsid w:val="009067C3"/>
    <w:rsid w:val="0090762F"/>
    <w:rsid w:val="00926CB2"/>
    <w:rsid w:val="0094797A"/>
    <w:rsid w:val="009C2ADC"/>
    <w:rsid w:val="009E5F1E"/>
    <w:rsid w:val="00A117A0"/>
    <w:rsid w:val="00A908BA"/>
    <w:rsid w:val="00AA5C06"/>
    <w:rsid w:val="00B3285F"/>
    <w:rsid w:val="00BA675F"/>
    <w:rsid w:val="00BD7915"/>
    <w:rsid w:val="00BF2A1D"/>
    <w:rsid w:val="00C776A0"/>
    <w:rsid w:val="00CE7606"/>
    <w:rsid w:val="00D01075"/>
    <w:rsid w:val="00D85EC6"/>
    <w:rsid w:val="00D97677"/>
    <w:rsid w:val="00DB0F4E"/>
    <w:rsid w:val="00DD7D40"/>
    <w:rsid w:val="00DE5372"/>
    <w:rsid w:val="00DF646B"/>
    <w:rsid w:val="00E21ADD"/>
    <w:rsid w:val="00E40B0F"/>
    <w:rsid w:val="00EB7C97"/>
    <w:rsid w:val="00F1360F"/>
    <w:rsid w:val="00F81E55"/>
    <w:rsid w:val="00F94DF1"/>
    <w:rsid w:val="00FA26AF"/>
    <w:rsid w:val="00FA3FC4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46955-0E66-4324-811D-EAB7EB5E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C77B8C-6524-410A-817B-0247171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2016-06-17T15:16:00Z</dcterms:created>
  <dcterms:modified xsi:type="dcterms:W3CDTF">2016-06-17T15:16:00Z</dcterms:modified>
</cp:coreProperties>
</file>